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FA33EB" w:rsidRPr="00683048">
        <w:rPr>
          <w:rFonts w:ascii="Arial" w:hAnsi="Arial" w:cs="Arial"/>
        </w:rPr>
        <w:t xml:space="preserve">kvalitativní třídy A dle </w:t>
      </w:r>
      <w:proofErr w:type="spellStart"/>
      <w:r w:rsidR="00FA33EB" w:rsidRPr="00683048">
        <w:rPr>
          <w:rFonts w:ascii="Arial" w:hAnsi="Arial" w:cs="Arial"/>
        </w:rPr>
        <w:t>CZB</w:t>
      </w:r>
      <w:proofErr w:type="spellEnd"/>
      <w:r w:rsidR="00FA33EB" w:rsidRPr="00683048">
        <w:rPr>
          <w:rFonts w:ascii="Arial" w:hAnsi="Arial" w:cs="Arial"/>
        </w:rPr>
        <w:t xml:space="preserve">, </w:t>
      </w:r>
      <w:r w:rsidR="009C023C" w:rsidRPr="00683048">
        <w:rPr>
          <w:rFonts w:ascii="Arial" w:hAnsi="Arial" w:cs="Arial"/>
        </w:rPr>
        <w:t>s izolantem z fasádního pěnového polystyrénu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bookmarkStart w:id="0" w:name="_GoBack"/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bookmarkEnd w:id="0"/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  <w:r w:rsidR="004846A4">
        <w:rPr>
          <w:rFonts w:ascii="Arial" w:hAnsi="Arial" w:cs="Arial"/>
        </w:rPr>
        <w:t xml:space="preserve">Výrobce zateplovacího systému </w:t>
      </w:r>
      <w:r w:rsidR="004846A4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4846A4" w:rsidRPr="00683048">
        <w:rPr>
          <w:rFonts w:ascii="Arial" w:hAnsi="Arial" w:cs="Arial"/>
        </w:rPr>
        <w:t>ETICS</w:t>
      </w:r>
      <w:proofErr w:type="spellEnd"/>
      <w:r w:rsidR="004846A4">
        <w:rPr>
          <w:rFonts w:ascii="Arial" w:hAnsi="Arial" w:cs="Arial"/>
        </w:rPr>
        <w:t xml:space="preserve">, prokazatelné </w:t>
      </w:r>
      <w:r w:rsidR="004846A4" w:rsidRPr="00795DDA">
        <w:rPr>
          <w:rFonts w:ascii="Arial" w:hAnsi="Arial" w:cs="Arial"/>
        </w:rPr>
        <w:t>dokumenty o environmentálních dopadech</w:t>
      </w:r>
      <w:r w:rsidR="004846A4">
        <w:rPr>
          <w:rFonts w:ascii="Arial" w:hAnsi="Arial" w:cs="Arial"/>
        </w:rPr>
        <w:t xml:space="preserve"> použitých izolačních materiálů a povrchového souvrství (e</w:t>
      </w:r>
      <w:r w:rsidR="004846A4" w:rsidRPr="00795DDA">
        <w:rPr>
          <w:rFonts w:ascii="Arial" w:hAnsi="Arial" w:cs="Arial"/>
        </w:rPr>
        <w:t>nvironmentální dopady lze doložit například environmentální deklarací o produktu (</w:t>
      </w:r>
      <w:proofErr w:type="spellStart"/>
      <w:r w:rsidR="004846A4" w:rsidRPr="00795DDA">
        <w:rPr>
          <w:rFonts w:ascii="Arial" w:hAnsi="Arial" w:cs="Arial"/>
        </w:rPr>
        <w:t>EPD</w:t>
      </w:r>
      <w:proofErr w:type="spellEnd"/>
      <w:r w:rsidR="004846A4" w:rsidRPr="00795DDA">
        <w:rPr>
          <w:rFonts w:ascii="Arial" w:hAnsi="Arial" w:cs="Arial"/>
        </w:rPr>
        <w:t>), nebo odpovídajícími, průkaznými dokumenty</w:t>
      </w:r>
      <w:r w:rsidR="004846A4">
        <w:rPr>
          <w:rFonts w:ascii="Arial" w:hAnsi="Arial" w:cs="Arial"/>
        </w:rPr>
        <w:t xml:space="preserve">) a </w:t>
      </w:r>
      <w:r w:rsidR="004846A4" w:rsidRPr="00652E9D">
        <w:rPr>
          <w:rFonts w:ascii="Arial" w:hAnsi="Arial" w:cs="Arial"/>
        </w:rPr>
        <w:t>prokazatelně měřené hodnoty vzduchové nepr</w:t>
      </w:r>
      <w:r w:rsidR="004846A4">
        <w:rPr>
          <w:rFonts w:ascii="Arial" w:hAnsi="Arial" w:cs="Arial"/>
        </w:rPr>
        <w:t xml:space="preserve">ůzvučnosti referenční stěny s </w:t>
      </w:r>
      <w:proofErr w:type="spellStart"/>
      <w:r w:rsidR="004846A4">
        <w:rPr>
          <w:rFonts w:ascii="Arial" w:hAnsi="Arial" w:cs="Arial"/>
        </w:rPr>
        <w:t>ETICS</w:t>
      </w:r>
      <w:proofErr w:type="spellEnd"/>
      <w:r w:rsidR="004846A4" w:rsidRPr="00652E9D">
        <w:rPr>
          <w:rFonts w:ascii="Arial" w:hAnsi="Arial" w:cs="Arial"/>
        </w:rPr>
        <w:t xml:space="preserve"> formou aktuálního dokumentu z provedené zkoušky.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C34BC4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F0D27" w:rsidRDefault="005D2CF6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musí vykazovat mechanickou odolnost proti rázu</w:t>
      </w:r>
      <w:r w:rsidR="007A7CC0" w:rsidRPr="00683048">
        <w:rPr>
          <w:rFonts w:ascii="Arial" w:hAnsi="Arial" w:cs="Arial"/>
        </w:rPr>
        <w:t xml:space="preserve">, dle metodiky </w:t>
      </w:r>
      <w:proofErr w:type="spellStart"/>
      <w:r w:rsidR="007A7CC0" w:rsidRPr="00683048">
        <w:rPr>
          <w:rFonts w:ascii="Arial" w:hAnsi="Arial" w:cs="Arial"/>
        </w:rPr>
        <w:t>ETA</w:t>
      </w:r>
      <w:r w:rsidR="00B037B6">
        <w:rPr>
          <w:rFonts w:ascii="Arial" w:hAnsi="Arial" w:cs="Arial"/>
        </w:rPr>
        <w:t>G</w:t>
      </w:r>
      <w:proofErr w:type="spellEnd"/>
      <w:r w:rsidR="007A7CC0" w:rsidRPr="00683048">
        <w:rPr>
          <w:rFonts w:ascii="Arial" w:hAnsi="Arial" w:cs="Arial"/>
        </w:rPr>
        <w:t xml:space="preserve"> 004,</w:t>
      </w:r>
      <w:r w:rsidRPr="00683048">
        <w:rPr>
          <w:rFonts w:ascii="Arial" w:hAnsi="Arial" w:cs="Arial"/>
        </w:rPr>
        <w:t xml:space="preserve"> min. 15 J bez poškození </w:t>
      </w:r>
      <w:r w:rsidR="00A514D6" w:rsidRPr="00683048">
        <w:rPr>
          <w:rFonts w:ascii="Arial" w:hAnsi="Arial" w:cs="Arial"/>
        </w:rPr>
        <w:t>(</w:t>
      </w:r>
      <w:r w:rsidRPr="00683048">
        <w:rPr>
          <w:rFonts w:ascii="Arial" w:hAnsi="Arial" w:cs="Arial"/>
        </w:rPr>
        <w:t>kategorie I</w:t>
      </w:r>
      <w:r w:rsidR="00A514D6" w:rsidRPr="00683048">
        <w:rPr>
          <w:rFonts w:ascii="Arial" w:hAnsi="Arial" w:cs="Arial"/>
        </w:rPr>
        <w:t>) s omítkou zrnitosti 1,5 mm</w:t>
      </w:r>
      <w:r w:rsidRPr="00683048">
        <w:rPr>
          <w:rFonts w:ascii="Arial" w:hAnsi="Arial" w:cs="Arial"/>
        </w:rPr>
        <w:t>.</w:t>
      </w:r>
      <w:r w:rsidR="00B037B6">
        <w:rPr>
          <w:rFonts w:ascii="Arial" w:hAnsi="Arial" w:cs="Arial"/>
        </w:rPr>
        <w:t xml:space="preserve"> 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 s hodnotou součinitele propustnosti vodních par maximálně 20</w:t>
      </w:r>
      <w:r w:rsidR="00FB7E5A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CD7F53" w:rsidRPr="00683048">
        <w:rPr>
          <w:rFonts w:ascii="Arial" w:hAnsi="Arial" w:cs="Arial"/>
        </w:rPr>
        <w:t>30</w:t>
      </w:r>
      <w:r w:rsidR="00244EF2" w:rsidRPr="00683048">
        <w:rPr>
          <w:rFonts w:ascii="Arial" w:hAnsi="Arial" w:cs="Arial"/>
        </w:rPr>
        <w:t xml:space="preserve"> m.</w:t>
      </w:r>
      <w:r w:rsidR="005A48FE" w:rsidRPr="00683048">
        <w:rPr>
          <w:rFonts w:ascii="Arial" w:hAnsi="Arial" w:cs="Arial"/>
        </w:rPr>
        <w:t xml:space="preserve"> 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s vložením izolantu </w:t>
      </w:r>
      <w:proofErr w:type="spellStart"/>
      <w:r w:rsidR="00A638F0" w:rsidRPr="00683048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>/</w:t>
      </w:r>
      <w:proofErr w:type="spellStart"/>
      <w:r w:rsidR="00A638F0" w:rsidRPr="00683048">
        <w:rPr>
          <w:rFonts w:ascii="Arial" w:hAnsi="Arial" w:cs="Arial"/>
        </w:rPr>
        <w:t>A2</w:t>
      </w:r>
      <w:proofErr w:type="spellEnd"/>
      <w:r w:rsidR="00A638F0" w:rsidRPr="00683048">
        <w:rPr>
          <w:rFonts w:ascii="Arial" w:hAnsi="Arial" w:cs="Arial"/>
        </w:rPr>
        <w:t xml:space="preserve"> mezi okenní rám a izolaci fasády.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939AE"/>
    <w:rsid w:val="001A68D1"/>
    <w:rsid w:val="001B4A3C"/>
    <w:rsid w:val="00244EF2"/>
    <w:rsid w:val="002B5AD8"/>
    <w:rsid w:val="003016B8"/>
    <w:rsid w:val="003372DB"/>
    <w:rsid w:val="003679BA"/>
    <w:rsid w:val="003A522E"/>
    <w:rsid w:val="003B2829"/>
    <w:rsid w:val="00475D09"/>
    <w:rsid w:val="004846A4"/>
    <w:rsid w:val="00485204"/>
    <w:rsid w:val="00505DEE"/>
    <w:rsid w:val="00513ACA"/>
    <w:rsid w:val="00581C9B"/>
    <w:rsid w:val="005A48FE"/>
    <w:rsid w:val="005D2CF6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559AD"/>
    <w:rsid w:val="00871CF0"/>
    <w:rsid w:val="008939B7"/>
    <w:rsid w:val="008C720D"/>
    <w:rsid w:val="008E68FD"/>
    <w:rsid w:val="009735D5"/>
    <w:rsid w:val="009C023C"/>
    <w:rsid w:val="009C2F1B"/>
    <w:rsid w:val="00A22C72"/>
    <w:rsid w:val="00A30C68"/>
    <w:rsid w:val="00A462EC"/>
    <w:rsid w:val="00A514D6"/>
    <w:rsid w:val="00A638F0"/>
    <w:rsid w:val="00A83191"/>
    <w:rsid w:val="00A860C9"/>
    <w:rsid w:val="00AB3651"/>
    <w:rsid w:val="00AF1094"/>
    <w:rsid w:val="00B037B6"/>
    <w:rsid w:val="00B351D9"/>
    <w:rsid w:val="00B73B2F"/>
    <w:rsid w:val="00BA3FAF"/>
    <w:rsid w:val="00BB0827"/>
    <w:rsid w:val="00C34BC4"/>
    <w:rsid w:val="00C3538D"/>
    <w:rsid w:val="00CD49B9"/>
    <w:rsid w:val="00CD7F53"/>
    <w:rsid w:val="00CE19F7"/>
    <w:rsid w:val="00D51608"/>
    <w:rsid w:val="00D56F72"/>
    <w:rsid w:val="00DB4C07"/>
    <w:rsid w:val="00DE3EBC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A4079"/>
    <w:rsid w:val="001C4B5C"/>
    <w:rsid w:val="00532A5A"/>
    <w:rsid w:val="00601EEB"/>
    <w:rsid w:val="00645750"/>
    <w:rsid w:val="006B1149"/>
    <w:rsid w:val="00997FBB"/>
    <w:rsid w:val="00A071EB"/>
    <w:rsid w:val="00B3000D"/>
    <w:rsid w:val="00BB371F"/>
    <w:rsid w:val="00D621FC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149"/>
    <w:rPr>
      <w:color w:val="808080"/>
    </w:rPr>
  </w:style>
  <w:style w:type="paragraph" w:customStyle="1" w:styleId="BB97B55379A94FA9AF8A35EA42DCB9E5">
    <w:name w:val="BB97B55379A94FA9AF8A35EA42DCB9E5"/>
    <w:rsid w:val="006B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0F19-1454-4D19-8FC6-6B3CB313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24</cp:revision>
  <dcterms:created xsi:type="dcterms:W3CDTF">2016-12-16T15:41:00Z</dcterms:created>
  <dcterms:modified xsi:type="dcterms:W3CDTF">2018-02-13T12:14:00Z</dcterms:modified>
</cp:coreProperties>
</file>