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D57A78">
        <w:rPr>
          <w:rFonts w:ascii="Arial" w:hAnsi="Arial" w:cs="Arial"/>
        </w:rPr>
        <w:t>s izolantem z fasádních desek z fenolické pěny</w:t>
      </w:r>
      <w:r w:rsidR="00B96326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20" w:value="20"/>
            <w:listItem w:displayText="30" w:value="30"/>
            <w:listItem w:displayText="40" w:value="40"/>
            <w:listItem w:displayText="50" w:value="50"/>
            <w:listItem w:displayText="60" w:value="60"/>
            <w:listItem w:displayText="70" w:value="70"/>
            <w:listItem w:displayText="80" w:value="80"/>
            <w:listItem w:displayText="100" w:value="100"/>
            <w:listItem w:displayText="120" w:value="120"/>
            <w:listItem w:displayText="140" w:value="140"/>
            <w:listItem w:displayText="160" w:value="160"/>
            <w:listItem w:displayText="180" w:value="180"/>
            <w:listItem w:displayText="200" w:value="200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A7AEA">
        <w:rPr>
          <w:rFonts w:ascii="Arial" w:hAnsi="Arial" w:cs="Arial"/>
        </w:rPr>
        <w:t>m</w:t>
      </w:r>
      <w:r w:rsidR="007B5968">
        <w:rPr>
          <w:rFonts w:ascii="Arial" w:hAnsi="Arial" w:cs="Arial"/>
        </w:rPr>
        <w:t xml:space="preserve">m, </w:t>
      </w:r>
      <w:r w:rsidR="009C023C" w:rsidRPr="00683048">
        <w:rPr>
          <w:rFonts w:ascii="Arial" w:hAnsi="Arial" w:cs="Arial"/>
        </w:rPr>
        <w:t>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r w:rsidR="00D57A78">
        <w:rPr>
          <w:rFonts w:ascii="Arial" w:hAnsi="Arial" w:cs="Arial"/>
        </w:rPr>
        <w:t xml:space="preserve">0,020 – 0,021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7B5968">
        <w:rPr>
          <w:rFonts w:ascii="Arial" w:hAnsi="Arial" w:cs="Arial"/>
        </w:rPr>
        <w:t xml:space="preserve"> a třídou reakce na oheň </w:t>
      </w:r>
      <w:r w:rsidR="007B5968" w:rsidRPr="007B5968">
        <w:rPr>
          <w:rFonts w:ascii="Arial" w:hAnsi="Arial" w:cs="Arial"/>
        </w:rPr>
        <w:t>C-</w:t>
      </w:r>
      <w:proofErr w:type="spellStart"/>
      <w:r w:rsidR="007B5968" w:rsidRPr="007B5968">
        <w:rPr>
          <w:rFonts w:ascii="Arial" w:hAnsi="Arial" w:cs="Arial"/>
        </w:rPr>
        <w:t>s2</w:t>
      </w:r>
      <w:proofErr w:type="spellEnd"/>
      <w:r w:rsidR="007B5968" w:rsidRPr="007B5968">
        <w:rPr>
          <w:rFonts w:ascii="Arial" w:hAnsi="Arial" w:cs="Arial"/>
        </w:rPr>
        <w:t xml:space="preserve">, </w:t>
      </w:r>
      <w:proofErr w:type="spellStart"/>
      <w:r w:rsidR="007B5968" w:rsidRPr="007B5968">
        <w:rPr>
          <w:rFonts w:ascii="Arial" w:hAnsi="Arial" w:cs="Arial"/>
        </w:rPr>
        <w:t>d0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  <w:r w:rsidR="004846A4">
        <w:rPr>
          <w:rFonts w:ascii="Arial" w:hAnsi="Arial" w:cs="Arial"/>
        </w:rPr>
        <w:t xml:space="preserve">Výrobce zateplovacího systému </w:t>
      </w:r>
      <w:r w:rsidR="004846A4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4846A4" w:rsidRPr="00683048">
        <w:rPr>
          <w:rFonts w:ascii="Arial" w:hAnsi="Arial" w:cs="Arial"/>
        </w:rPr>
        <w:t>ETICS</w:t>
      </w:r>
      <w:proofErr w:type="spellEnd"/>
      <w:r w:rsidR="000C72AF">
        <w:rPr>
          <w:rFonts w:ascii="Arial" w:hAnsi="Arial" w:cs="Arial"/>
        </w:rPr>
        <w:t>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C34BC4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zakládací lištu.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6F0D27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cementové bázi s hodnotou součinitele propustnosti vodních par maximálně 20</w:t>
      </w:r>
      <w:r w:rsidR="00FB7E5A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</w:t>
      </w:r>
      <w:r w:rsidR="002E2EC5">
        <w:rPr>
          <w:rFonts w:ascii="Arial" w:hAnsi="Arial" w:cs="Arial"/>
        </w:rPr>
        <w:t>o</w:t>
      </w:r>
      <w:bookmarkStart w:id="0" w:name="_GoBack"/>
      <w:bookmarkEnd w:id="0"/>
      <w:r w:rsidR="00244EF2" w:rsidRPr="00683048">
        <w:rPr>
          <w:rFonts w:ascii="Arial" w:hAnsi="Arial" w:cs="Arial"/>
        </w:rPr>
        <w:t xml:space="preserve">u maximálně </w:t>
      </w:r>
      <w:r w:rsidR="00E5539D">
        <w:rPr>
          <w:rFonts w:ascii="Arial" w:hAnsi="Arial" w:cs="Arial"/>
        </w:rPr>
        <w:t>1,00</w:t>
      </w:r>
      <w:r w:rsidR="00244EF2" w:rsidRPr="00683048">
        <w:rPr>
          <w:rFonts w:ascii="Arial" w:hAnsi="Arial" w:cs="Arial"/>
        </w:rPr>
        <w:t xml:space="preserve"> m.</w:t>
      </w:r>
      <w:r w:rsidR="005A48FE" w:rsidRPr="00683048">
        <w:rPr>
          <w:rFonts w:ascii="Arial" w:hAnsi="Arial" w:cs="Arial"/>
        </w:rPr>
        <w:t xml:space="preserve"> </w:t>
      </w:r>
    </w:p>
    <w:p w:rsidR="00244EF2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1939AE" w:rsidRPr="00683048">
        <w:rPr>
          <w:rFonts w:ascii="Arial" w:hAnsi="Arial" w:cs="Arial"/>
        </w:rPr>
        <w:t xml:space="preserve"> bez meziokenních dělících pruhů s třídou reakce na oheň </w:t>
      </w:r>
      <w:proofErr w:type="spellStart"/>
      <w:r w:rsidR="001939AE" w:rsidRPr="00683048">
        <w:rPr>
          <w:rFonts w:ascii="Arial" w:hAnsi="Arial" w:cs="Arial"/>
        </w:rPr>
        <w:t>A1</w:t>
      </w:r>
      <w:proofErr w:type="spellEnd"/>
      <w:r w:rsidR="001939AE" w:rsidRPr="00683048">
        <w:rPr>
          <w:rFonts w:ascii="Arial" w:hAnsi="Arial" w:cs="Arial"/>
        </w:rPr>
        <w:t>/</w:t>
      </w:r>
      <w:proofErr w:type="spellStart"/>
      <w:r w:rsidR="001939AE" w:rsidRPr="00683048">
        <w:rPr>
          <w:rFonts w:ascii="Arial" w:hAnsi="Arial" w:cs="Arial"/>
        </w:rPr>
        <w:t>A2</w:t>
      </w:r>
      <w:proofErr w:type="spellEnd"/>
      <w:r w:rsidR="001939AE" w:rsidRPr="00683048">
        <w:rPr>
          <w:rFonts w:ascii="Arial" w:hAnsi="Arial" w:cs="Arial"/>
        </w:rPr>
        <w:t xml:space="preserve">. </w:t>
      </w:r>
      <w:r w:rsidR="00A638F0" w:rsidRPr="00683048">
        <w:rPr>
          <w:rFonts w:ascii="Arial" w:hAnsi="Arial" w:cs="Arial"/>
        </w:rPr>
        <w:t>Nadpraží a ostění b</w:t>
      </w:r>
      <w:r w:rsidR="001939AE" w:rsidRPr="00683048">
        <w:rPr>
          <w:rFonts w:ascii="Arial" w:hAnsi="Arial" w:cs="Arial"/>
        </w:rPr>
        <w:t xml:space="preserve">ude </w:t>
      </w:r>
      <w:r w:rsidR="00A638F0" w:rsidRPr="00683048">
        <w:rPr>
          <w:rFonts w:ascii="Arial" w:hAnsi="Arial" w:cs="Arial"/>
        </w:rPr>
        <w:t xml:space="preserve">provedeno </w:t>
      </w:r>
      <w:r w:rsidR="00E5539D">
        <w:rPr>
          <w:rFonts w:ascii="Arial" w:hAnsi="Arial" w:cs="Arial"/>
        </w:rPr>
        <w:t>ze stejné izolace jako izolace</w:t>
      </w:r>
      <w:r w:rsidR="00A638F0" w:rsidRPr="00683048">
        <w:rPr>
          <w:rFonts w:ascii="Arial" w:hAnsi="Arial" w:cs="Arial"/>
        </w:rPr>
        <w:t xml:space="preserve"> </w:t>
      </w:r>
      <w:r w:rsidR="00E5539D">
        <w:rPr>
          <w:rFonts w:ascii="Arial" w:hAnsi="Arial" w:cs="Arial"/>
        </w:rPr>
        <w:t>v ploše fasády</w:t>
      </w:r>
      <w:r w:rsidR="00A638F0" w:rsidRPr="00683048">
        <w:rPr>
          <w:rFonts w:ascii="Arial" w:hAnsi="Arial" w:cs="Arial"/>
        </w:rPr>
        <w:t xml:space="preserve">. </w:t>
      </w:r>
      <w:r w:rsidR="00CD7F53" w:rsidRPr="00683048">
        <w:rPr>
          <w:rFonts w:ascii="Arial" w:hAnsi="Arial" w:cs="Arial"/>
        </w:rPr>
        <w:t>T</w:t>
      </w:r>
      <w:r w:rsidR="00A638F0" w:rsidRPr="00683048">
        <w:rPr>
          <w:rFonts w:ascii="Arial" w:hAnsi="Arial" w:cs="Arial"/>
        </w:rPr>
        <w:t>oto řešení bude podloženo platný</w:t>
      </w:r>
      <w:r w:rsidR="008939B7">
        <w:rPr>
          <w:rFonts w:ascii="Arial" w:hAnsi="Arial" w:cs="Arial"/>
        </w:rPr>
        <w:t>m</w:t>
      </w:r>
      <w:r w:rsidR="00A638F0" w:rsidRPr="00683048">
        <w:rPr>
          <w:rFonts w:ascii="Arial" w:hAnsi="Arial" w:cs="Arial"/>
        </w:rPr>
        <w:t xml:space="preserve"> pož</w:t>
      </w:r>
      <w:r w:rsidR="00AF1094" w:rsidRPr="00683048">
        <w:rPr>
          <w:rFonts w:ascii="Arial" w:hAnsi="Arial" w:cs="Arial"/>
        </w:rPr>
        <w:t xml:space="preserve">árně klasifikačním osvědčením.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C72AF"/>
    <w:rsid w:val="000F3A28"/>
    <w:rsid w:val="00135254"/>
    <w:rsid w:val="001939AE"/>
    <w:rsid w:val="001A68D1"/>
    <w:rsid w:val="001B4A3C"/>
    <w:rsid w:val="00244EF2"/>
    <w:rsid w:val="002B5AD8"/>
    <w:rsid w:val="002E2EC5"/>
    <w:rsid w:val="003016B8"/>
    <w:rsid w:val="003372DB"/>
    <w:rsid w:val="003679BA"/>
    <w:rsid w:val="003A522E"/>
    <w:rsid w:val="003B2829"/>
    <w:rsid w:val="00463FCE"/>
    <w:rsid w:val="00475D09"/>
    <w:rsid w:val="004846A4"/>
    <w:rsid w:val="00485204"/>
    <w:rsid w:val="00505DEE"/>
    <w:rsid w:val="00513ACA"/>
    <w:rsid w:val="00581C9B"/>
    <w:rsid w:val="005A48FE"/>
    <w:rsid w:val="005D2CF6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B5968"/>
    <w:rsid w:val="007D3849"/>
    <w:rsid w:val="008559AD"/>
    <w:rsid w:val="00871CF0"/>
    <w:rsid w:val="008939B7"/>
    <w:rsid w:val="008C720D"/>
    <w:rsid w:val="008E68FD"/>
    <w:rsid w:val="009735D5"/>
    <w:rsid w:val="009A7AEA"/>
    <w:rsid w:val="009C023C"/>
    <w:rsid w:val="009C2F1B"/>
    <w:rsid w:val="00A22C72"/>
    <w:rsid w:val="00A30C68"/>
    <w:rsid w:val="00A462EC"/>
    <w:rsid w:val="00A514D6"/>
    <w:rsid w:val="00A638F0"/>
    <w:rsid w:val="00A83191"/>
    <w:rsid w:val="00A860C9"/>
    <w:rsid w:val="00AB3651"/>
    <w:rsid w:val="00AF1094"/>
    <w:rsid w:val="00B037B6"/>
    <w:rsid w:val="00B351D9"/>
    <w:rsid w:val="00B73B2F"/>
    <w:rsid w:val="00B96326"/>
    <w:rsid w:val="00BA3FAF"/>
    <w:rsid w:val="00BB0827"/>
    <w:rsid w:val="00C34BC4"/>
    <w:rsid w:val="00C3538D"/>
    <w:rsid w:val="00CD49B9"/>
    <w:rsid w:val="00CD7F53"/>
    <w:rsid w:val="00CE19F7"/>
    <w:rsid w:val="00D51608"/>
    <w:rsid w:val="00D56F72"/>
    <w:rsid w:val="00D57A78"/>
    <w:rsid w:val="00DB4C07"/>
    <w:rsid w:val="00DE3EBC"/>
    <w:rsid w:val="00E5539D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A4079"/>
    <w:rsid w:val="001C4B5C"/>
    <w:rsid w:val="002A06DF"/>
    <w:rsid w:val="00532A5A"/>
    <w:rsid w:val="00601EEB"/>
    <w:rsid w:val="00645750"/>
    <w:rsid w:val="006B1149"/>
    <w:rsid w:val="00997FBB"/>
    <w:rsid w:val="009C0AB7"/>
    <w:rsid w:val="00A071EB"/>
    <w:rsid w:val="00B3000D"/>
    <w:rsid w:val="00BB371F"/>
    <w:rsid w:val="00D621FC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0EB1-C4AB-459D-A9BD-C9DDA7DD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6</cp:revision>
  <dcterms:created xsi:type="dcterms:W3CDTF">2019-08-26T08:06:00Z</dcterms:created>
  <dcterms:modified xsi:type="dcterms:W3CDTF">2019-08-26T10:22:00Z</dcterms:modified>
</cp:coreProperties>
</file>